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37" w:rsidRDefault="00181D37" w:rsidP="00181D37">
      <w:pPr>
        <w:spacing w:line="360" w:lineRule="auto"/>
        <w:ind w:left="2832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181D37" w:rsidRDefault="00181D37" w:rsidP="00181D37">
      <w:pPr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181D37" w:rsidRDefault="00181D37" w:rsidP="00181D37">
      <w:pPr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 xml:space="preserve">ТКБ </w:t>
      </w:r>
      <w:proofErr w:type="spellStart"/>
      <w:r w:rsidRPr="00B53349">
        <w:rPr>
          <w:sz w:val="24"/>
          <w:szCs w:val="24"/>
        </w:rPr>
        <w:t>Инвестмент</w:t>
      </w:r>
      <w:proofErr w:type="spellEnd"/>
      <w:r w:rsidRPr="00B53349">
        <w:rPr>
          <w:sz w:val="24"/>
          <w:szCs w:val="24"/>
        </w:rPr>
        <w:t xml:space="preserve"> </w:t>
      </w:r>
      <w:proofErr w:type="spellStart"/>
      <w:r w:rsidRPr="00B53349">
        <w:rPr>
          <w:sz w:val="24"/>
          <w:szCs w:val="24"/>
        </w:rPr>
        <w:t>Партнерс</w:t>
      </w:r>
      <w:proofErr w:type="spellEnd"/>
      <w:r w:rsidRPr="00B53349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181D37" w:rsidRDefault="00181D37" w:rsidP="00181D37">
      <w:pPr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 w:rsidRPr="00B53349">
        <w:rPr>
          <w:sz w:val="24"/>
          <w:szCs w:val="24"/>
        </w:rPr>
        <w:t>Инвестмент</w:t>
      </w:r>
      <w:proofErr w:type="spellEnd"/>
      <w:r w:rsidRPr="00B53349">
        <w:rPr>
          <w:sz w:val="24"/>
          <w:szCs w:val="24"/>
        </w:rPr>
        <w:t xml:space="preserve"> </w:t>
      </w:r>
      <w:proofErr w:type="spellStart"/>
      <w:r w:rsidRPr="00B53349">
        <w:rPr>
          <w:sz w:val="24"/>
          <w:szCs w:val="24"/>
        </w:rPr>
        <w:t>Партнерс</w:t>
      </w:r>
      <w:proofErr w:type="spellEnd"/>
      <w:r w:rsidRPr="00B53349">
        <w:rPr>
          <w:sz w:val="24"/>
          <w:szCs w:val="24"/>
        </w:rPr>
        <w:t xml:space="preserve"> – Фонд сбалансированный» (Правила доверительного управления фондом зарегистрированы ФСФР России 24.12.2002 за № 0078-58234010). </w:t>
      </w:r>
    </w:p>
    <w:p w:rsidR="00181D37" w:rsidRDefault="00181D37" w:rsidP="00181D37">
      <w:pPr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B53349">
        <w:rPr>
          <w:sz w:val="24"/>
          <w:szCs w:val="24"/>
        </w:rPr>
        <w:t>sales</w:t>
      </w:r>
      <w:proofErr w:type="spellEnd"/>
      <w:r w:rsidRPr="00B53349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181D37" w:rsidRDefault="00181D37" w:rsidP="00181D37">
      <w:pPr>
        <w:jc w:val="both"/>
        <w:rPr>
          <w:sz w:val="28"/>
          <w:szCs w:val="28"/>
        </w:rPr>
      </w:pPr>
      <w:r w:rsidRPr="00B53349">
        <w:rPr>
          <w:sz w:val="28"/>
          <w:szCs w:val="28"/>
        </w:rPr>
        <w:t>Стоимость инвестиционных паев может увеличиваться и</w:t>
      </w:r>
      <w:r>
        <w:rPr>
          <w:sz w:val="28"/>
          <w:szCs w:val="28"/>
        </w:rPr>
        <w:t>ли</w:t>
      </w:r>
      <w:r w:rsidRPr="00B53349">
        <w:rPr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z w:val="28"/>
          <w:szCs w:val="28"/>
        </w:rPr>
        <w:t>ов</w:t>
      </w:r>
      <w:r w:rsidRPr="00B53349">
        <w:rPr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181D37" w:rsidRDefault="00181D37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353B6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181D3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353B62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181D3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181D37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181D37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181D3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181D3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ОТКРЫТОГО ПАЕВОГО ИНВЕСТИЦИОННОГО ФОНДА РЫНОЧНЫХ ФИНАНСОВЫХ ИНСТРУМЕНТОВ «ТКБ ИНВЕСТМЕНТ ПАРТНЕРС –</w:t>
      </w:r>
      <w:r w:rsidR="00A31AF5">
        <w:rPr>
          <w:rFonts w:ascii="Verdana" w:hAnsi="Verdana"/>
          <w:b/>
          <w:snapToGrid w:val="0"/>
          <w:sz w:val="24"/>
          <w:szCs w:val="24"/>
          <w:u w:val="single"/>
        </w:rPr>
        <w:t xml:space="preserve">ФОНД </w:t>
      </w:r>
      <w:r w:rsidR="004D71B5">
        <w:rPr>
          <w:rFonts w:ascii="Verdana" w:hAnsi="Verdana"/>
          <w:b/>
          <w:snapToGrid w:val="0"/>
          <w:sz w:val="24"/>
          <w:szCs w:val="24"/>
          <w:u w:val="single"/>
        </w:rPr>
        <w:t>СБАЛАНСИРОВАННЫЙ</w:t>
      </w: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181D3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181D3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181D3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181D37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181D37" w:rsidP="009055E6"/>
    <w:p w:rsidR="009055E6" w:rsidRDefault="00181D37" w:rsidP="009055E6"/>
    <w:p w:rsidR="009055E6" w:rsidRDefault="00181D37" w:rsidP="009055E6"/>
    <w:p w:rsidR="009055E6" w:rsidRDefault="00181D37" w:rsidP="009055E6"/>
    <w:p w:rsidR="009055E6" w:rsidRDefault="00181D37" w:rsidP="009055E6"/>
    <w:p w:rsidR="009055E6" w:rsidRDefault="00181D37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6D35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>Термины и определения</w:t>
      </w:r>
      <w:r w:rsidR="00CC7546">
        <w:rPr>
          <w:rFonts w:ascii="Times New Roman" w:hAnsi="Times New Roman"/>
          <w:sz w:val="24"/>
          <w:szCs w:val="24"/>
        </w:rPr>
        <w:t>»</w:t>
      </w:r>
      <w:r w:rsidR="005D502E">
        <w:rPr>
          <w:rFonts w:ascii="Times New Roman" w:hAnsi="Times New Roman"/>
          <w:sz w:val="24"/>
          <w:szCs w:val="24"/>
        </w:rPr>
        <w:t xml:space="preserve">  Приложени</w:t>
      </w:r>
      <w:r w:rsidR="00CC7546">
        <w:rPr>
          <w:rFonts w:ascii="Times New Roman" w:hAnsi="Times New Roman"/>
          <w:sz w:val="24"/>
          <w:szCs w:val="24"/>
        </w:rPr>
        <w:t>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20707B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4D71B5">
        <w:rPr>
          <w:rFonts w:ascii="Times New Roman" w:hAnsi="Times New Roman"/>
          <w:sz w:val="24"/>
          <w:szCs w:val="24"/>
        </w:rPr>
        <w:t xml:space="preserve">сбалансированный </w:t>
      </w:r>
      <w:r w:rsidR="00B5385E" w:rsidRPr="008C0B13">
        <w:rPr>
          <w:rFonts w:ascii="Times New Roman" w:hAnsi="Times New Roman"/>
          <w:sz w:val="24"/>
          <w:szCs w:val="24"/>
        </w:rPr>
        <w:t>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181D37" w:rsidP="009055E6">
      <w:pPr>
        <w:rPr>
          <w:rFonts w:ascii="Times New Roman" w:hAnsi="Times New Roman"/>
          <w:sz w:val="24"/>
          <w:szCs w:val="24"/>
        </w:rPr>
      </w:pPr>
    </w:p>
    <w:p w:rsidR="00D94BE6" w:rsidRDefault="00181D37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181D37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181D37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181D37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181D37"/>
    <w:p w:rsidR="009055E6" w:rsidRDefault="00343987" w:rsidP="00CA54EA">
      <w:pPr>
        <w:spacing w:line="360" w:lineRule="auto"/>
        <w:jc w:val="both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130F87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4D71B5">
        <w:rPr>
          <w:rFonts w:ascii="Times New Roman" w:hAnsi="Times New Roman"/>
          <w:sz w:val="24"/>
          <w:szCs w:val="24"/>
        </w:rPr>
        <w:t>сбалансированный</w:t>
      </w:r>
      <w:r w:rsidR="008C0B13" w:rsidRPr="008C0B13">
        <w:rPr>
          <w:rFonts w:ascii="Times New Roman" w:hAnsi="Times New Roman"/>
          <w:sz w:val="24"/>
          <w:szCs w:val="24"/>
        </w:rPr>
        <w:t>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F28DB">
        <w:rPr>
          <w:rFonts w:ascii="Times New Roman" w:hAnsi="Times New Roman"/>
          <w:sz w:val="24"/>
          <w:szCs w:val="24"/>
        </w:rPr>
        <w:t xml:space="preserve">» </w:t>
      </w:r>
      <w:r w:rsidR="001B4F1E" w:rsidRPr="00353B62">
        <w:rPr>
          <w:rFonts w:ascii="Times New Roman" w:hAnsi="Times New Roman"/>
          <w:sz w:val="24"/>
          <w:szCs w:val="24"/>
        </w:rPr>
        <w:t>июля</w:t>
      </w:r>
      <w:r w:rsidRPr="00353B62">
        <w:rPr>
          <w:rFonts w:ascii="Times New Roman" w:hAnsi="Times New Roman"/>
          <w:sz w:val="24"/>
          <w:szCs w:val="24"/>
        </w:rPr>
        <w:t xml:space="preserve"> 202</w:t>
      </w:r>
      <w:r w:rsidR="00E36529" w:rsidRPr="00353B62">
        <w:rPr>
          <w:rFonts w:ascii="Times New Roman" w:hAnsi="Times New Roman"/>
          <w:sz w:val="24"/>
          <w:szCs w:val="24"/>
        </w:rPr>
        <w:t>3</w:t>
      </w:r>
      <w:r w:rsidRPr="00AF28DB">
        <w:rPr>
          <w:rFonts w:ascii="Times New Roman" w:hAnsi="Times New Roman"/>
          <w:sz w:val="24"/>
          <w:szCs w:val="24"/>
        </w:rPr>
        <w:t>г.</w:t>
      </w:r>
    </w:p>
    <w:sectPr w:rsidR="009055E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0E1631"/>
    <w:rsid w:val="0010171F"/>
    <w:rsid w:val="00114F3C"/>
    <w:rsid w:val="00124A68"/>
    <w:rsid w:val="00130F87"/>
    <w:rsid w:val="00181D37"/>
    <w:rsid w:val="001868DC"/>
    <w:rsid w:val="001B4F1E"/>
    <w:rsid w:val="0020707B"/>
    <w:rsid w:val="0025276A"/>
    <w:rsid w:val="002E340C"/>
    <w:rsid w:val="00333980"/>
    <w:rsid w:val="00343987"/>
    <w:rsid w:val="00353B62"/>
    <w:rsid w:val="00367FA6"/>
    <w:rsid w:val="00383983"/>
    <w:rsid w:val="003B13E7"/>
    <w:rsid w:val="003D115B"/>
    <w:rsid w:val="004D71B5"/>
    <w:rsid w:val="005901F0"/>
    <w:rsid w:val="005D502E"/>
    <w:rsid w:val="005E451F"/>
    <w:rsid w:val="005F1473"/>
    <w:rsid w:val="0062349B"/>
    <w:rsid w:val="00644332"/>
    <w:rsid w:val="006A1535"/>
    <w:rsid w:val="006D35C2"/>
    <w:rsid w:val="006D4A39"/>
    <w:rsid w:val="006F2908"/>
    <w:rsid w:val="0070251E"/>
    <w:rsid w:val="00713649"/>
    <w:rsid w:val="00771F18"/>
    <w:rsid w:val="007763CE"/>
    <w:rsid w:val="007F4CB4"/>
    <w:rsid w:val="00891F97"/>
    <w:rsid w:val="008C0B13"/>
    <w:rsid w:val="008C1EDE"/>
    <w:rsid w:val="00A145CC"/>
    <w:rsid w:val="00A31AF5"/>
    <w:rsid w:val="00A419E6"/>
    <w:rsid w:val="00A45A82"/>
    <w:rsid w:val="00A835D8"/>
    <w:rsid w:val="00A96123"/>
    <w:rsid w:val="00AB7618"/>
    <w:rsid w:val="00B5385E"/>
    <w:rsid w:val="00B72177"/>
    <w:rsid w:val="00BC117C"/>
    <w:rsid w:val="00BC3C6F"/>
    <w:rsid w:val="00C40295"/>
    <w:rsid w:val="00C70340"/>
    <w:rsid w:val="00CA54EA"/>
    <w:rsid w:val="00CC7546"/>
    <w:rsid w:val="00D141EC"/>
    <w:rsid w:val="00D16463"/>
    <w:rsid w:val="00D50A23"/>
    <w:rsid w:val="00E21383"/>
    <w:rsid w:val="00E36529"/>
    <w:rsid w:val="00E71D2A"/>
    <w:rsid w:val="00E736AC"/>
    <w:rsid w:val="00EA275D"/>
    <w:rsid w:val="00EC4DCE"/>
    <w:rsid w:val="00ED02F5"/>
    <w:rsid w:val="00F32DC2"/>
    <w:rsid w:val="00F5562D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2C28B354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9410-64E7-419D-AF38-C5D7FC2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2023-06-20T07:45:00Z</dcterms:created>
  <dcterms:modified xsi:type="dcterms:W3CDTF">2023-06-22T10:07:00Z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